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7DEF" w14:textId="06F3236A" w:rsidR="005A3477" w:rsidRDefault="00383642">
      <w:bookmarkStart w:id="0" w:name="_GoBack"/>
      <w:bookmarkEnd w:id="0"/>
      <w:r>
        <w:t>BIJLAGE 12</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206"/>
        <w:gridCol w:w="7076"/>
      </w:tblGrid>
      <w:tr w:rsidR="005A3477" w14:paraId="54B00516" w14:textId="77777777" w:rsidTr="005A3477">
        <w:trPr>
          <w:trHeight w:val="367"/>
        </w:trPr>
        <w:tc>
          <w:tcPr>
            <w:tcW w:w="2206" w:type="dxa"/>
            <w:vMerge w:val="restart"/>
            <w:tcBorders>
              <w:right w:val="single" w:sz="4" w:space="0" w:color="auto"/>
            </w:tcBorders>
          </w:tcPr>
          <w:p w14:paraId="53293C41" w14:textId="2909E75E" w:rsidR="005A3477" w:rsidRPr="009A0481" w:rsidRDefault="005A3477">
            <w:pPr>
              <w:rPr>
                <w:lang w:val="nl-NL"/>
              </w:rPr>
            </w:pPr>
          </w:p>
        </w:tc>
        <w:tc>
          <w:tcPr>
            <w:tcW w:w="7076" w:type="dxa"/>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9A0481" w:rsidRDefault="005A3477">
            <w:pPr>
              <w:rPr>
                <w:lang w:val="nl-NL"/>
              </w:rPr>
            </w:pPr>
          </w:p>
          <w:p w14:paraId="4FA53113" w14:textId="4D63F61E" w:rsidR="005A3477" w:rsidRPr="005A3477" w:rsidRDefault="005A3477" w:rsidP="009A0481">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5A3477" w:rsidRPr="009A0481" w:rsidRDefault="005A3477">
            <w:pPr>
              <w:rPr>
                <w:lang w:val="nl-NL"/>
              </w:rPr>
            </w:pPr>
          </w:p>
        </w:tc>
      </w:tr>
      <w:tr w:rsidR="005A3477" w14:paraId="26CDA1EB" w14:textId="77777777" w:rsidTr="005A3477">
        <w:trPr>
          <w:trHeight w:val="366"/>
        </w:trPr>
        <w:tc>
          <w:tcPr>
            <w:tcW w:w="2206" w:type="dxa"/>
            <w:vMerge/>
            <w:tcBorders>
              <w:right w:val="single" w:sz="4" w:space="0" w:color="auto"/>
            </w:tcBorders>
          </w:tcPr>
          <w:p w14:paraId="4705D151" w14:textId="77777777" w:rsidR="005A3477" w:rsidRPr="009A0481" w:rsidRDefault="005A3477">
            <w:pPr>
              <w:rPr>
                <w:lang w:val="nl-NL"/>
              </w:rPr>
            </w:pPr>
          </w:p>
        </w:tc>
        <w:tc>
          <w:tcPr>
            <w:tcW w:w="7076" w:type="dxa"/>
            <w:tcBorders>
              <w:top w:val="nil"/>
              <w:left w:val="single" w:sz="4" w:space="0" w:color="auto"/>
              <w:bottom w:val="single" w:sz="4" w:space="0" w:color="auto"/>
              <w:right w:val="single" w:sz="4" w:space="0" w:color="auto"/>
            </w:tcBorders>
            <w:shd w:val="clear" w:color="auto" w:fill="D9D9D9" w:themeFill="background1" w:themeFillShade="D9"/>
          </w:tcPr>
          <w:p w14:paraId="20B444EA" w14:textId="2018F664" w:rsidR="005A3477" w:rsidRPr="00123D5E" w:rsidRDefault="00123D5E" w:rsidP="005A3477">
            <w:pPr>
              <w:shd w:val="clear" w:color="auto" w:fill="D9D9D9" w:themeFill="background1" w:themeFillShade="D9"/>
              <w:jc w:val="center"/>
              <w:rPr>
                <w:b/>
                <w:color w:val="0000FF"/>
                <w:sz w:val="36"/>
                <w:szCs w:val="36"/>
                <w:lang w:val="nl-NL"/>
              </w:rPr>
            </w:pPr>
            <w:r w:rsidRPr="00123D5E">
              <w:rPr>
                <w:b/>
                <w:color w:val="0000FF"/>
                <w:sz w:val="36"/>
                <w:szCs w:val="36"/>
                <w:lang w:val="nl-NL"/>
              </w:rPr>
              <w:t>Administratief-technisch</w:t>
            </w:r>
          </w:p>
          <w:p w14:paraId="453BEBB0" w14:textId="140A033B" w:rsidR="005A3477" w:rsidRPr="00123D5E" w:rsidRDefault="00B41040" w:rsidP="006400C9">
            <w:pPr>
              <w:shd w:val="clear" w:color="auto" w:fill="D9D9D9" w:themeFill="background1" w:themeFillShade="D9"/>
              <w:jc w:val="center"/>
              <w:rPr>
                <w:b/>
                <w:color w:val="0000FF"/>
                <w:sz w:val="32"/>
                <w:szCs w:val="32"/>
                <w:lang w:val="nl-NL"/>
              </w:rPr>
            </w:pPr>
            <w:r>
              <w:rPr>
                <w:b/>
                <w:color w:val="0000FF"/>
                <w:sz w:val="36"/>
                <w:szCs w:val="36"/>
                <w:lang w:val="nl-NL"/>
              </w:rPr>
              <w:t>deskundige</w:t>
            </w:r>
          </w:p>
        </w:tc>
      </w:tr>
      <w:tr w:rsidR="006400C9" w:rsidRPr="007D7151" w14:paraId="2244DF67" w14:textId="77777777" w:rsidTr="005A3477">
        <w:tc>
          <w:tcPr>
            <w:tcW w:w="2206" w:type="dxa"/>
          </w:tcPr>
          <w:p w14:paraId="110C8BB0" w14:textId="77777777" w:rsidR="006400C9" w:rsidRPr="009A0481" w:rsidRDefault="006400C9" w:rsidP="009A0481">
            <w:pPr>
              <w:rPr>
                <w:b/>
                <w:color w:val="0000FF"/>
                <w:sz w:val="20"/>
                <w:szCs w:val="20"/>
                <w:lang w:val="nl-NL"/>
              </w:rPr>
            </w:pPr>
          </w:p>
        </w:tc>
        <w:tc>
          <w:tcPr>
            <w:tcW w:w="7076" w:type="dxa"/>
            <w:tcBorders>
              <w:top w:val="single" w:sz="4" w:space="0" w:color="auto"/>
            </w:tcBorders>
          </w:tcPr>
          <w:p w14:paraId="52B3195B" w14:textId="77777777" w:rsidR="006400C9" w:rsidRDefault="006400C9" w:rsidP="006A042D">
            <w:pPr>
              <w:jc w:val="center"/>
              <w:rPr>
                <w:sz w:val="20"/>
                <w:szCs w:val="20"/>
                <w:lang w:val="nl-NL"/>
              </w:rPr>
            </w:pPr>
          </w:p>
          <w:p w14:paraId="3BE0A9CD" w14:textId="5EB9B3EA" w:rsidR="006400C9" w:rsidRDefault="006400C9" w:rsidP="006A042D">
            <w:pPr>
              <w:jc w:val="center"/>
              <w:rPr>
                <w:rFonts w:cs="Arial"/>
                <w:color w:val="000000"/>
                <w:sz w:val="20"/>
                <w:szCs w:val="20"/>
                <w:lang w:val="nl-NL"/>
              </w:rPr>
            </w:pPr>
            <w:r>
              <w:rPr>
                <w:rFonts w:cs="Arial"/>
                <w:color w:val="000000"/>
                <w:sz w:val="20"/>
                <w:szCs w:val="20"/>
                <w:lang w:val="nl-NL"/>
              </w:rPr>
              <w:t xml:space="preserve">Deze functie is </w:t>
            </w:r>
            <w:r w:rsidR="00C40F14">
              <w:rPr>
                <w:rFonts w:cs="Arial"/>
                <w:color w:val="000000"/>
                <w:sz w:val="20"/>
                <w:szCs w:val="20"/>
                <w:lang w:val="nl-NL"/>
              </w:rPr>
              <w:t xml:space="preserve">in principe </w:t>
            </w:r>
            <w:r>
              <w:rPr>
                <w:rFonts w:cs="Arial"/>
                <w:color w:val="000000"/>
                <w:sz w:val="20"/>
                <w:szCs w:val="20"/>
                <w:lang w:val="nl-NL"/>
              </w:rPr>
              <w:t xml:space="preserve">gekoppeld aan de functie van </w:t>
            </w:r>
            <w:r w:rsidR="00B41040">
              <w:rPr>
                <w:rFonts w:cs="Arial"/>
                <w:color w:val="000000"/>
                <w:sz w:val="20"/>
                <w:szCs w:val="20"/>
                <w:lang w:val="nl-NL"/>
              </w:rPr>
              <w:t>middenkader</w:t>
            </w:r>
            <w:r w:rsidR="00123D5E">
              <w:rPr>
                <w:rFonts w:cs="Arial"/>
                <w:color w:val="000000"/>
                <w:sz w:val="20"/>
                <w:szCs w:val="20"/>
                <w:lang w:val="nl-NL"/>
              </w:rPr>
              <w:t>.</w:t>
            </w:r>
          </w:p>
          <w:p w14:paraId="34DEECF9" w14:textId="77777777" w:rsidR="006400C9" w:rsidRDefault="006400C9" w:rsidP="006A042D">
            <w:pPr>
              <w:jc w:val="center"/>
              <w:rPr>
                <w:rFonts w:cs="Arial"/>
                <w:color w:val="000000"/>
                <w:sz w:val="20"/>
                <w:szCs w:val="20"/>
                <w:lang w:val="nl-NL"/>
              </w:rPr>
            </w:pPr>
          </w:p>
          <w:p w14:paraId="6735DB94" w14:textId="671BD814" w:rsidR="006400C9" w:rsidRPr="00BE0919" w:rsidRDefault="006400C9" w:rsidP="006A042D">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functie van haar risicoanalyse.</w:t>
            </w:r>
          </w:p>
          <w:p w14:paraId="1F774EE3" w14:textId="77777777" w:rsidR="00DE771F" w:rsidRDefault="00DE771F" w:rsidP="00DE771F">
            <w:pPr>
              <w:jc w:val="center"/>
              <w:rPr>
                <w:rFonts w:cs="Arial"/>
                <w:color w:val="000000"/>
                <w:sz w:val="20"/>
                <w:szCs w:val="20"/>
                <w:lang w:val="nl-NL"/>
              </w:rPr>
            </w:pPr>
          </w:p>
          <w:p w14:paraId="3C6FAA9E" w14:textId="77777777" w:rsidR="00DE771F" w:rsidRDefault="00DE771F" w:rsidP="00DE771F">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22F13DB3" w14:textId="77777777" w:rsidR="00DE771F" w:rsidRDefault="00DE771F" w:rsidP="00DE771F">
            <w:pPr>
              <w:jc w:val="center"/>
              <w:rPr>
                <w:rFonts w:cs="Arial"/>
                <w:color w:val="000000"/>
                <w:sz w:val="20"/>
                <w:szCs w:val="20"/>
                <w:lang w:val="nl-NL"/>
              </w:rPr>
            </w:pPr>
          </w:p>
          <w:p w14:paraId="1BD8CEC0" w14:textId="77777777" w:rsidR="00DE771F" w:rsidRDefault="00DE771F" w:rsidP="00DE771F">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2957A43F" w14:textId="77777777" w:rsidR="00DE771F" w:rsidRPr="009A0481" w:rsidRDefault="00DE771F" w:rsidP="009A0481">
            <w:pPr>
              <w:rPr>
                <w:sz w:val="20"/>
                <w:szCs w:val="20"/>
                <w:lang w:val="nl-NL"/>
              </w:rPr>
            </w:pPr>
          </w:p>
        </w:tc>
      </w:tr>
      <w:tr w:rsidR="009A0481" w:rsidRPr="007D7151" w14:paraId="50710453" w14:textId="77777777" w:rsidTr="005A3477">
        <w:tc>
          <w:tcPr>
            <w:tcW w:w="2206" w:type="dxa"/>
          </w:tcPr>
          <w:p w14:paraId="03E889FC" w14:textId="77777777" w:rsidR="009A0481" w:rsidRPr="009A0481" w:rsidRDefault="009A0481" w:rsidP="009A0481">
            <w:pPr>
              <w:rPr>
                <w:b/>
                <w:color w:val="0000FF"/>
                <w:sz w:val="20"/>
                <w:szCs w:val="20"/>
                <w:lang w:val="nl-NL"/>
              </w:rPr>
            </w:pPr>
            <w:r w:rsidRPr="009A0481">
              <w:rPr>
                <w:b/>
                <w:color w:val="0000FF"/>
                <w:sz w:val="20"/>
                <w:szCs w:val="20"/>
                <w:lang w:val="nl-NL"/>
              </w:rPr>
              <w:t>Doel</w:t>
            </w:r>
          </w:p>
        </w:tc>
        <w:tc>
          <w:tcPr>
            <w:tcW w:w="7076" w:type="dxa"/>
            <w:tcBorders>
              <w:top w:val="single" w:sz="4" w:space="0" w:color="auto"/>
            </w:tcBorders>
          </w:tcPr>
          <w:p w14:paraId="0B0234D5" w14:textId="77777777" w:rsidR="009A0481" w:rsidRPr="009A0481" w:rsidRDefault="009A0481" w:rsidP="009A0481">
            <w:pPr>
              <w:rPr>
                <w:sz w:val="20"/>
                <w:szCs w:val="20"/>
                <w:lang w:val="nl-NL"/>
              </w:rPr>
            </w:pPr>
          </w:p>
          <w:p w14:paraId="6EB19044" w14:textId="1D484B43" w:rsidR="009A0481" w:rsidRPr="00B65117" w:rsidRDefault="00D27580" w:rsidP="006400C9">
            <w:pPr>
              <w:rPr>
                <w:rFonts w:cs="Arial"/>
                <w:color w:val="000000"/>
                <w:sz w:val="20"/>
                <w:szCs w:val="20"/>
                <w:lang w:val="nl-NL"/>
              </w:rPr>
            </w:pPr>
            <w:r w:rsidRPr="00B65117">
              <w:rPr>
                <w:rFonts w:cs="Arial"/>
                <w:color w:val="000000"/>
                <w:sz w:val="20"/>
                <w:szCs w:val="20"/>
                <w:lang w:val="nl-NL"/>
              </w:rPr>
              <w:t xml:space="preserve">Het </w:t>
            </w:r>
            <w:r w:rsidR="00123D5E">
              <w:rPr>
                <w:rFonts w:cs="Arial"/>
                <w:color w:val="000000"/>
                <w:sz w:val="20"/>
                <w:szCs w:val="20"/>
                <w:lang w:val="nl-NL"/>
              </w:rPr>
              <w:t>opvolgen en verdelen</w:t>
            </w:r>
            <w:r w:rsidRPr="00B65117">
              <w:rPr>
                <w:rFonts w:cs="Arial"/>
                <w:color w:val="000000"/>
                <w:sz w:val="20"/>
                <w:szCs w:val="20"/>
                <w:lang w:val="nl-NL"/>
              </w:rPr>
              <w:t xml:space="preserve"> van </w:t>
            </w:r>
            <w:r w:rsidR="00123D5E">
              <w:rPr>
                <w:rFonts w:cs="Arial"/>
                <w:color w:val="000000"/>
                <w:sz w:val="20"/>
                <w:szCs w:val="20"/>
                <w:lang w:val="nl-NL"/>
              </w:rPr>
              <w:t xml:space="preserve">een veelheid van administratief of technisch </w:t>
            </w:r>
            <w:r w:rsidRPr="00B65117">
              <w:rPr>
                <w:rFonts w:cs="Arial"/>
                <w:color w:val="000000"/>
                <w:sz w:val="20"/>
                <w:szCs w:val="20"/>
                <w:lang w:val="nl-NL"/>
              </w:rPr>
              <w:t>uitvoerende taken in het kader van de basisbrandweerzorg teneinde een goede administratieve</w:t>
            </w:r>
            <w:r w:rsidR="00123D5E">
              <w:rPr>
                <w:rFonts w:cs="Arial"/>
                <w:color w:val="000000"/>
                <w:sz w:val="20"/>
                <w:szCs w:val="20"/>
                <w:lang w:val="nl-NL"/>
              </w:rPr>
              <w:t xml:space="preserve"> of technische</w:t>
            </w:r>
            <w:r w:rsidRPr="00B65117">
              <w:rPr>
                <w:rFonts w:cs="Arial"/>
                <w:color w:val="000000"/>
                <w:sz w:val="20"/>
                <w:szCs w:val="20"/>
                <w:lang w:val="nl-NL"/>
              </w:rPr>
              <w:t xml:space="preserve"> werking van de zone te verzekeren.</w:t>
            </w:r>
          </w:p>
          <w:p w14:paraId="2CF86615" w14:textId="77777777" w:rsidR="009A0481" w:rsidRPr="009A0481" w:rsidRDefault="009A0481" w:rsidP="00981462">
            <w:pPr>
              <w:pStyle w:val="Lijstalinea"/>
              <w:ind w:left="346"/>
              <w:rPr>
                <w:sz w:val="20"/>
                <w:szCs w:val="20"/>
              </w:rPr>
            </w:pPr>
          </w:p>
        </w:tc>
      </w:tr>
      <w:tr w:rsidR="009A0481" w:rsidRPr="007D7151" w14:paraId="02F6D96F" w14:textId="77777777" w:rsidTr="00A66F68">
        <w:tc>
          <w:tcPr>
            <w:tcW w:w="2206"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7076" w:type="dxa"/>
          </w:tcPr>
          <w:p w14:paraId="7ABDAA82" w14:textId="77777777" w:rsidR="009A0481" w:rsidRDefault="009A0481" w:rsidP="009A0481">
            <w:pPr>
              <w:rPr>
                <w:sz w:val="20"/>
                <w:szCs w:val="20"/>
                <w:lang w:val="nl-NL"/>
              </w:rPr>
            </w:pPr>
          </w:p>
          <w:p w14:paraId="1C5B920A" w14:textId="087231BD" w:rsidR="009A0481" w:rsidRDefault="009A0481" w:rsidP="00123D5E">
            <w:pPr>
              <w:rPr>
                <w:sz w:val="20"/>
                <w:szCs w:val="20"/>
                <w:lang w:val="nl-NL"/>
              </w:rPr>
            </w:pPr>
            <w:r w:rsidRPr="00D4409B">
              <w:rPr>
                <w:sz w:val="20"/>
                <w:szCs w:val="20"/>
                <w:lang w:val="nl-NL"/>
              </w:rPr>
              <w:t xml:space="preserve">Een </w:t>
            </w:r>
            <w:r w:rsidR="00981462">
              <w:rPr>
                <w:sz w:val="20"/>
                <w:szCs w:val="20"/>
                <w:lang w:val="nl-NL"/>
              </w:rPr>
              <w:t>administratief</w:t>
            </w:r>
            <w:r w:rsidR="00123D5E">
              <w:rPr>
                <w:sz w:val="20"/>
                <w:szCs w:val="20"/>
                <w:lang w:val="nl-NL"/>
              </w:rPr>
              <w:t>-technisch</w:t>
            </w:r>
            <w:r w:rsidR="00981462">
              <w:rPr>
                <w:sz w:val="20"/>
                <w:szCs w:val="20"/>
                <w:lang w:val="nl-NL"/>
              </w:rPr>
              <w:t xml:space="preserve"> </w:t>
            </w:r>
            <w:r w:rsidR="00B41040">
              <w:rPr>
                <w:sz w:val="20"/>
                <w:szCs w:val="20"/>
                <w:lang w:val="nl-NL"/>
              </w:rPr>
              <w:t>deskundige</w:t>
            </w:r>
            <w:r w:rsidR="00B41040" w:rsidRPr="00D4409B">
              <w:rPr>
                <w:sz w:val="20"/>
                <w:szCs w:val="20"/>
                <w:lang w:val="nl-NL"/>
              </w:rPr>
              <w:t xml:space="preserve"> </w:t>
            </w:r>
            <w:r w:rsidRPr="00D4409B">
              <w:rPr>
                <w:sz w:val="20"/>
                <w:szCs w:val="20"/>
                <w:lang w:val="nl-NL"/>
              </w:rPr>
              <w:t xml:space="preserve">werkt samen met </w:t>
            </w:r>
            <w:r w:rsidR="00981462">
              <w:rPr>
                <w:sz w:val="20"/>
                <w:szCs w:val="20"/>
                <w:lang w:val="nl-NL"/>
              </w:rPr>
              <w:t>een</w:t>
            </w:r>
            <w:r w:rsidR="00123D5E">
              <w:rPr>
                <w:sz w:val="20"/>
                <w:szCs w:val="20"/>
                <w:lang w:val="nl-NL"/>
              </w:rPr>
              <w:t xml:space="preserve"> beperkt</w:t>
            </w:r>
            <w:r w:rsidR="00981462">
              <w:rPr>
                <w:sz w:val="20"/>
                <w:szCs w:val="20"/>
                <w:lang w:val="nl-NL"/>
              </w:rPr>
              <w:t xml:space="preserve"> team van administratieve</w:t>
            </w:r>
            <w:r w:rsidR="00123D5E">
              <w:rPr>
                <w:sz w:val="20"/>
                <w:szCs w:val="20"/>
                <w:lang w:val="nl-NL"/>
              </w:rPr>
              <w:t xml:space="preserve"> of technische</w:t>
            </w:r>
            <w:r w:rsidR="00981462">
              <w:rPr>
                <w:sz w:val="20"/>
                <w:szCs w:val="20"/>
                <w:lang w:val="nl-NL"/>
              </w:rPr>
              <w:t xml:space="preserve"> krachten en heeft hierin een </w:t>
            </w:r>
            <w:r w:rsidR="00123D5E">
              <w:rPr>
                <w:sz w:val="20"/>
                <w:szCs w:val="20"/>
                <w:lang w:val="nl-NL"/>
              </w:rPr>
              <w:t>leidende taak</w:t>
            </w:r>
            <w:r w:rsidR="00981462">
              <w:rPr>
                <w:sz w:val="20"/>
                <w:szCs w:val="20"/>
                <w:lang w:val="nl-NL"/>
              </w:rPr>
              <w:t>.</w:t>
            </w:r>
            <w:r w:rsidR="006400C9">
              <w:rPr>
                <w:sz w:val="20"/>
                <w:szCs w:val="20"/>
                <w:lang w:val="nl-NL"/>
              </w:rPr>
              <w:t xml:space="preserve"> </w:t>
            </w:r>
          </w:p>
          <w:p w14:paraId="04E5E7B6" w14:textId="7186269E" w:rsidR="00E4720A" w:rsidRPr="009A0481" w:rsidRDefault="00E4720A" w:rsidP="00123D5E">
            <w:pPr>
              <w:rPr>
                <w:sz w:val="20"/>
                <w:szCs w:val="20"/>
                <w:lang w:val="nl-NL"/>
              </w:rPr>
            </w:pPr>
          </w:p>
        </w:tc>
      </w:tr>
      <w:tr w:rsidR="009A0481" w:rsidRPr="007D7151" w14:paraId="4409692D" w14:textId="77777777" w:rsidTr="00A66F68">
        <w:tc>
          <w:tcPr>
            <w:tcW w:w="2206"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7076" w:type="dxa"/>
          </w:tcPr>
          <w:p w14:paraId="6573DB5C" w14:textId="77777777" w:rsidR="009A0481" w:rsidRPr="00A66F68" w:rsidRDefault="009A0481" w:rsidP="00A66F68">
            <w:pPr>
              <w:rPr>
                <w:sz w:val="20"/>
                <w:szCs w:val="20"/>
                <w:lang w:val="nl-NL"/>
              </w:rPr>
            </w:pPr>
          </w:p>
          <w:p w14:paraId="22F6A9C1" w14:textId="69EAA2D1" w:rsidR="00A66F68" w:rsidRPr="005A3477" w:rsidRDefault="00A66F68" w:rsidP="00A66F68">
            <w:pPr>
              <w:outlineLvl w:val="0"/>
              <w:rPr>
                <w:rFonts w:cs="Arial"/>
                <w:b/>
                <w:sz w:val="20"/>
                <w:szCs w:val="20"/>
                <w:u w:val="single"/>
                <w:lang w:val="nl-NL"/>
              </w:rPr>
            </w:pPr>
            <w:r w:rsidRPr="005A3477">
              <w:rPr>
                <w:rFonts w:cs="Arial"/>
                <w:b/>
                <w:sz w:val="20"/>
                <w:szCs w:val="20"/>
                <w:u w:val="single"/>
                <w:lang w:val="nl-NL"/>
              </w:rPr>
              <w:t>Kernresultaatsgebieden</w:t>
            </w:r>
          </w:p>
          <w:p w14:paraId="409D5793" w14:textId="77777777" w:rsidR="00A66F68" w:rsidRPr="00A66F68" w:rsidRDefault="00A66F68" w:rsidP="00A66F68">
            <w:pPr>
              <w:rPr>
                <w:rFonts w:cs="Arial"/>
                <w:sz w:val="20"/>
                <w:szCs w:val="20"/>
                <w:lang w:val="nl-NL"/>
              </w:rPr>
            </w:pPr>
          </w:p>
          <w:p w14:paraId="392CA4E3" w14:textId="1537FFB6" w:rsidR="00123D5E" w:rsidRPr="00123D5E" w:rsidRDefault="004D692A" w:rsidP="00123D5E">
            <w:pPr>
              <w:rPr>
                <w:rFonts w:cs="Arial"/>
                <w:color w:val="000000"/>
                <w:sz w:val="20"/>
                <w:szCs w:val="20"/>
                <w:lang w:val="nl-NL"/>
              </w:rPr>
            </w:pPr>
            <w:r>
              <w:rPr>
                <w:rFonts w:cs="Arial"/>
                <w:color w:val="000000"/>
                <w:sz w:val="20"/>
                <w:szCs w:val="20"/>
                <w:lang w:val="nl-NL"/>
              </w:rPr>
              <w:t>L</w:t>
            </w:r>
            <w:r w:rsidR="00123D5E" w:rsidRPr="00123D5E">
              <w:rPr>
                <w:rFonts w:cs="Arial"/>
                <w:color w:val="000000"/>
                <w:sz w:val="20"/>
                <w:szCs w:val="20"/>
                <w:lang w:val="nl-NL"/>
              </w:rPr>
              <w:t xml:space="preserve">eiding geven aan en verantwoordelijkheid nemen over een beperkte groep </w:t>
            </w:r>
            <w:r w:rsidR="00DE771F">
              <w:rPr>
                <w:rFonts w:cs="Arial"/>
                <w:color w:val="000000"/>
                <w:sz w:val="20"/>
                <w:szCs w:val="20"/>
                <w:lang w:val="nl-NL"/>
              </w:rPr>
              <w:t>assistenten</w:t>
            </w:r>
            <w:r w:rsidR="00DE771F" w:rsidRPr="00123D5E">
              <w:rPr>
                <w:rFonts w:cs="Arial"/>
                <w:color w:val="000000"/>
                <w:sz w:val="20"/>
                <w:szCs w:val="20"/>
                <w:lang w:val="nl-NL"/>
              </w:rPr>
              <w:t xml:space="preserve"> </w:t>
            </w:r>
            <w:r w:rsidR="00123D5E" w:rsidRPr="00123D5E">
              <w:rPr>
                <w:rFonts w:cs="Arial"/>
                <w:color w:val="000000"/>
                <w:sz w:val="20"/>
                <w:szCs w:val="20"/>
                <w:lang w:val="nl-NL"/>
              </w:rPr>
              <w:t xml:space="preserve">bij het uitvoeren van een bepaald administratief of technisch takenpakket </w:t>
            </w:r>
            <w:r w:rsidR="00123D5E" w:rsidRPr="00123D5E">
              <w:rPr>
                <w:rFonts w:cs="Arial"/>
                <w:iCs/>
                <w:color w:val="000000"/>
                <w:sz w:val="20"/>
                <w:szCs w:val="20"/>
                <w:lang w:val="nl-NL"/>
              </w:rPr>
              <w:t>teneinde</w:t>
            </w:r>
            <w:r w:rsidR="00123D5E" w:rsidRPr="00123D5E">
              <w:rPr>
                <w:rFonts w:cs="Arial"/>
                <w:i/>
                <w:iCs/>
                <w:color w:val="000000"/>
                <w:sz w:val="20"/>
                <w:szCs w:val="20"/>
                <w:lang w:val="nl-NL"/>
              </w:rPr>
              <w:t xml:space="preserve"> </w:t>
            </w:r>
            <w:r w:rsidR="00123D5E" w:rsidRPr="00123D5E">
              <w:rPr>
                <w:rFonts w:cs="Arial"/>
                <w:color w:val="000000"/>
                <w:sz w:val="20"/>
                <w:szCs w:val="20"/>
                <w:lang w:val="nl-NL"/>
              </w:rPr>
              <w:t>de permanente inzetbaarheid van de middelen van de zone te verzekeren en haar goede administratieve, technische en operationele werking te ondersteunen</w:t>
            </w:r>
          </w:p>
          <w:p w14:paraId="730B9B43" w14:textId="77777777" w:rsidR="00A66F68" w:rsidRPr="00A66F68" w:rsidRDefault="00A66F68" w:rsidP="00A66F68">
            <w:pPr>
              <w:rPr>
                <w:rFonts w:cs="Arial"/>
                <w:color w:val="000000"/>
                <w:sz w:val="20"/>
                <w:szCs w:val="20"/>
                <w:lang w:val="nl-NL"/>
              </w:rPr>
            </w:pPr>
          </w:p>
          <w:p w14:paraId="1F503CC6" w14:textId="77777777" w:rsidR="00A66F68" w:rsidRPr="00A66F68" w:rsidRDefault="00A66F68" w:rsidP="00A66F68">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01A69DE7" w14:textId="6D4E5402" w:rsidR="00123D5E" w:rsidRP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Het initiëren en lei</w:t>
            </w:r>
            <w:r>
              <w:rPr>
                <w:rFonts w:cs="Arial"/>
                <w:color w:val="000000"/>
                <w:sz w:val="20"/>
                <w:szCs w:val="20"/>
                <w:lang w:val="nl-NL"/>
              </w:rPr>
              <w:t xml:space="preserve">den van </w:t>
            </w:r>
            <w:r w:rsidR="00383642">
              <w:rPr>
                <w:rFonts w:cs="Arial"/>
                <w:color w:val="000000"/>
                <w:sz w:val="20"/>
                <w:szCs w:val="20"/>
                <w:lang w:val="nl-NL"/>
              </w:rPr>
              <w:t xml:space="preserve">een </w:t>
            </w:r>
            <w:r>
              <w:rPr>
                <w:rFonts w:cs="Arial"/>
                <w:color w:val="000000"/>
                <w:sz w:val="20"/>
                <w:szCs w:val="20"/>
                <w:lang w:val="nl-NL"/>
              </w:rPr>
              <w:t>operationele debriefing.</w:t>
            </w:r>
          </w:p>
          <w:p w14:paraId="70044B8E" w14:textId="533338A7" w:rsidR="00123D5E" w:rsidRP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Het aansturen van een beperkte groep mensen bij het operationeel houden van (een deel van) het rollend of niet-rollend materieel van een post, m</w:t>
            </w:r>
            <w:r>
              <w:rPr>
                <w:rFonts w:cs="Arial"/>
                <w:color w:val="000000"/>
                <w:sz w:val="20"/>
                <w:szCs w:val="20"/>
                <w:lang w:val="nl-NL"/>
              </w:rPr>
              <w:t>et inbegrip van</w:t>
            </w:r>
            <w:r w:rsidRPr="00123D5E">
              <w:rPr>
                <w:rFonts w:cs="Arial"/>
                <w:color w:val="000000"/>
                <w:sz w:val="20"/>
                <w:szCs w:val="20"/>
                <w:lang w:val="nl-NL"/>
              </w:rPr>
              <w:t xml:space="preserve"> voorstellen v</w:t>
            </w:r>
            <w:r>
              <w:rPr>
                <w:rFonts w:cs="Arial"/>
                <w:color w:val="000000"/>
                <w:sz w:val="20"/>
                <w:szCs w:val="20"/>
                <w:lang w:val="nl-NL"/>
              </w:rPr>
              <w:t>oor</w:t>
            </w:r>
            <w:r w:rsidRPr="00123D5E">
              <w:rPr>
                <w:rFonts w:cs="Arial"/>
                <w:color w:val="000000"/>
                <w:sz w:val="20"/>
                <w:szCs w:val="20"/>
                <w:lang w:val="nl-NL"/>
              </w:rPr>
              <w:t xml:space="preserve"> de nodige bestellingen en overheidsopdrachten</w:t>
            </w:r>
            <w:r>
              <w:rPr>
                <w:rFonts w:cs="Arial"/>
                <w:color w:val="000000"/>
                <w:sz w:val="20"/>
                <w:szCs w:val="20"/>
                <w:lang w:val="nl-NL"/>
              </w:rPr>
              <w:t>.</w:t>
            </w:r>
          </w:p>
          <w:p w14:paraId="6FD37FF8" w14:textId="70F9C3F7" w:rsidR="00123D5E" w:rsidRP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Het regelen van de personeels- (verloven, samenstelling van de ploegen, afwezigheden, …) en oefenplanning in een post</w:t>
            </w:r>
            <w:r w:rsidR="00383642">
              <w:rPr>
                <w:rFonts w:cs="Arial"/>
                <w:color w:val="000000"/>
                <w:sz w:val="20"/>
                <w:szCs w:val="20"/>
                <w:lang w:val="nl-NL"/>
              </w:rPr>
              <w:t>.</w:t>
            </w:r>
          </w:p>
          <w:p w14:paraId="1FE13C5D" w14:textId="6F113429" w:rsidR="00123D5E" w:rsidRP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Het initiëren en geven van training en oefeningen, het opmaken van oefenfiches en het bijhouden van de oefenplanning alsmede de registratie van de aanwezigen</w:t>
            </w:r>
            <w:r>
              <w:rPr>
                <w:rFonts w:cs="Arial"/>
                <w:color w:val="000000"/>
                <w:sz w:val="20"/>
                <w:szCs w:val="20"/>
                <w:lang w:val="nl-NL"/>
              </w:rPr>
              <w:t>.</w:t>
            </w:r>
          </w:p>
          <w:p w14:paraId="1ED58B96" w14:textId="020AEC67" w:rsidR="00123D5E" w:rsidRDefault="00123D5E" w:rsidP="00123D5E">
            <w:pPr>
              <w:numPr>
                <w:ilvl w:val="0"/>
                <w:numId w:val="7"/>
              </w:numPr>
              <w:tabs>
                <w:tab w:val="num" w:pos="900"/>
              </w:tabs>
              <w:rPr>
                <w:rFonts w:cs="Arial"/>
                <w:color w:val="000000"/>
                <w:sz w:val="20"/>
                <w:szCs w:val="20"/>
                <w:lang w:val="nl-NL"/>
              </w:rPr>
            </w:pPr>
            <w:r w:rsidRPr="00123D5E">
              <w:rPr>
                <w:rFonts w:cs="Arial"/>
                <w:color w:val="000000"/>
                <w:sz w:val="20"/>
                <w:szCs w:val="20"/>
                <w:lang w:val="nl-NL"/>
              </w:rPr>
              <w:t>Het opstellen van interventieverslagen</w:t>
            </w:r>
            <w:r>
              <w:rPr>
                <w:rFonts w:cs="Arial"/>
                <w:color w:val="000000"/>
                <w:sz w:val="20"/>
                <w:szCs w:val="20"/>
                <w:lang w:val="nl-NL"/>
              </w:rPr>
              <w:t>.</w:t>
            </w:r>
          </w:p>
          <w:p w14:paraId="639C996C" w14:textId="5AD65F37" w:rsidR="004A6EBD" w:rsidRPr="004A6EBD" w:rsidRDefault="004A6EBD" w:rsidP="004A6EBD">
            <w:pPr>
              <w:numPr>
                <w:ilvl w:val="0"/>
                <w:numId w:val="7"/>
              </w:numPr>
              <w:tabs>
                <w:tab w:val="num" w:pos="900"/>
              </w:tabs>
              <w:rPr>
                <w:rFonts w:cs="Arial"/>
                <w:color w:val="000000"/>
                <w:sz w:val="20"/>
                <w:szCs w:val="20"/>
                <w:lang w:val="nl-NL"/>
              </w:rPr>
            </w:pPr>
            <w:r w:rsidRPr="004A6EBD">
              <w:rPr>
                <w:rFonts w:cs="Arial"/>
                <w:color w:val="000000"/>
                <w:sz w:val="20"/>
                <w:szCs w:val="20"/>
                <w:lang w:val="nl-NL"/>
              </w:rPr>
              <w:t xml:space="preserve">Alle administratief-technische uitvoerende taken, die ook van </w:t>
            </w:r>
            <w:r>
              <w:rPr>
                <w:rFonts w:cs="Arial"/>
                <w:color w:val="000000"/>
                <w:sz w:val="20"/>
                <w:szCs w:val="20"/>
                <w:lang w:val="nl-NL"/>
              </w:rPr>
              <w:t>brandweerman of korporaal</w:t>
            </w:r>
            <w:r w:rsidRPr="004A6EBD">
              <w:rPr>
                <w:rFonts w:cs="Arial"/>
                <w:color w:val="000000"/>
                <w:sz w:val="20"/>
                <w:szCs w:val="20"/>
                <w:lang w:val="nl-NL"/>
              </w:rPr>
              <w:t xml:space="preserve"> worden gevraagd (omdat niet iedere </w:t>
            </w:r>
            <w:r>
              <w:rPr>
                <w:rFonts w:cs="Arial"/>
                <w:color w:val="000000"/>
                <w:sz w:val="20"/>
                <w:szCs w:val="20"/>
                <w:lang w:val="nl-NL"/>
              </w:rPr>
              <w:t>sergeant</w:t>
            </w:r>
            <w:r w:rsidRPr="004A6EBD">
              <w:rPr>
                <w:rFonts w:cs="Arial"/>
                <w:color w:val="000000"/>
                <w:sz w:val="20"/>
                <w:szCs w:val="20"/>
                <w:lang w:val="nl-NL"/>
              </w:rPr>
              <w:t xml:space="preserve"> leidinggevende opdrachten zal vervullen op administratief of technisch vlak)</w:t>
            </w:r>
            <w:r>
              <w:rPr>
                <w:rFonts w:cs="Arial"/>
                <w:color w:val="000000"/>
                <w:sz w:val="20"/>
                <w:szCs w:val="20"/>
                <w:lang w:val="nl-NL"/>
              </w:rPr>
              <w:t>.</w:t>
            </w:r>
          </w:p>
          <w:p w14:paraId="09B6B72E" w14:textId="6D0FA2AF"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lastRenderedPageBreak/>
              <w:t>Het uitvoeren van brandpreventiecontroles en het geven van brandpreventieadvies</w:t>
            </w:r>
            <w:r>
              <w:rPr>
                <w:rFonts w:cs="Arial"/>
                <w:color w:val="000000"/>
                <w:sz w:val="20"/>
                <w:szCs w:val="20"/>
                <w:lang w:val="nl-NL"/>
              </w:rPr>
              <w:t>.</w:t>
            </w:r>
          </w:p>
          <w:p w14:paraId="419E0540" w14:textId="0BE10E63"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t xml:space="preserve">Het uitvoeren van risicoanalyses en </w:t>
            </w:r>
            <w:proofErr w:type="spellStart"/>
            <w:r w:rsidRPr="004A6EBD">
              <w:rPr>
                <w:rFonts w:cs="Arial"/>
                <w:color w:val="000000"/>
                <w:sz w:val="20"/>
                <w:szCs w:val="20"/>
                <w:lang w:val="nl-NL"/>
              </w:rPr>
              <w:t>plaatsbezoeken</w:t>
            </w:r>
            <w:proofErr w:type="spellEnd"/>
            <w:r>
              <w:rPr>
                <w:rFonts w:cs="Arial"/>
                <w:color w:val="000000"/>
                <w:sz w:val="20"/>
                <w:szCs w:val="20"/>
                <w:lang w:val="nl-NL"/>
              </w:rPr>
              <w:t>.</w:t>
            </w:r>
          </w:p>
          <w:p w14:paraId="30C31DE6" w14:textId="53F1945A"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t>Het evalueren van de werking van de post, zowel operationeel als administratief</w:t>
            </w:r>
            <w:r>
              <w:rPr>
                <w:rFonts w:cs="Arial"/>
                <w:color w:val="000000"/>
                <w:sz w:val="20"/>
                <w:szCs w:val="20"/>
                <w:lang w:val="nl-NL"/>
              </w:rPr>
              <w:t>.</w:t>
            </w:r>
          </w:p>
          <w:p w14:paraId="485ED5D3" w14:textId="75D516DC" w:rsidR="004A6EBD" w:rsidRPr="004A6EBD" w:rsidRDefault="004A6EBD" w:rsidP="004A6EBD">
            <w:pPr>
              <w:numPr>
                <w:ilvl w:val="0"/>
                <w:numId w:val="7"/>
              </w:numPr>
              <w:rPr>
                <w:rFonts w:cs="Arial"/>
                <w:color w:val="000000"/>
                <w:sz w:val="20"/>
                <w:szCs w:val="20"/>
                <w:lang w:val="nl-NL"/>
              </w:rPr>
            </w:pPr>
            <w:r w:rsidRPr="004A6EBD">
              <w:rPr>
                <w:rFonts w:cs="Arial"/>
                <w:color w:val="000000"/>
                <w:sz w:val="20"/>
                <w:szCs w:val="20"/>
                <w:lang w:val="nl-NL"/>
              </w:rPr>
              <w:t>Het medewerking verlenen aan het financieel beheer en het personeelsbeheer in de zone</w:t>
            </w:r>
            <w:r>
              <w:rPr>
                <w:rFonts w:cs="Arial"/>
                <w:color w:val="000000"/>
                <w:sz w:val="20"/>
                <w:szCs w:val="20"/>
                <w:lang w:val="nl-NL"/>
              </w:rPr>
              <w:t>.</w:t>
            </w:r>
          </w:p>
          <w:p w14:paraId="53A38A9C" w14:textId="77777777" w:rsidR="009A0481" w:rsidRDefault="009A0481" w:rsidP="009A0481">
            <w:pPr>
              <w:rPr>
                <w:sz w:val="20"/>
                <w:szCs w:val="20"/>
                <w:lang w:val="nl-NL"/>
              </w:rPr>
            </w:pPr>
          </w:p>
        </w:tc>
      </w:tr>
      <w:tr w:rsidR="00B65117" w:rsidRPr="007D7151" w14:paraId="21EDB3D2" w14:textId="77777777" w:rsidTr="00A66F68">
        <w:tc>
          <w:tcPr>
            <w:tcW w:w="2206" w:type="dxa"/>
          </w:tcPr>
          <w:p w14:paraId="21D05839" w14:textId="3A234F8D" w:rsidR="00B65117" w:rsidRPr="009A0481" w:rsidRDefault="00B65117" w:rsidP="009A0481">
            <w:pPr>
              <w:rPr>
                <w:b/>
                <w:color w:val="0000FF"/>
                <w:sz w:val="20"/>
                <w:szCs w:val="20"/>
                <w:lang w:val="nl-NL"/>
              </w:rPr>
            </w:pPr>
            <w:r w:rsidRPr="009A0481">
              <w:rPr>
                <w:b/>
                <w:color w:val="0000FF"/>
                <w:sz w:val="20"/>
                <w:szCs w:val="20"/>
                <w:lang w:val="nl-NL"/>
              </w:rPr>
              <w:lastRenderedPageBreak/>
              <w:t>Plaats in de organisatie</w:t>
            </w:r>
          </w:p>
        </w:tc>
        <w:tc>
          <w:tcPr>
            <w:tcW w:w="7076" w:type="dxa"/>
          </w:tcPr>
          <w:p w14:paraId="07B80603" w14:textId="77777777" w:rsidR="00B65117" w:rsidRDefault="00B65117" w:rsidP="00B65117">
            <w:pPr>
              <w:jc w:val="both"/>
              <w:outlineLvl w:val="0"/>
              <w:rPr>
                <w:rFonts w:cs="Arial"/>
                <w:b/>
                <w:sz w:val="20"/>
                <w:szCs w:val="20"/>
                <w:u w:val="single"/>
                <w:lang w:val="nl-NL"/>
              </w:rPr>
            </w:pPr>
          </w:p>
          <w:p w14:paraId="75666270" w14:textId="77777777"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krijgt leiding van:</w:t>
            </w:r>
          </w:p>
          <w:p w14:paraId="3EFB1E34" w14:textId="3BEF0A82" w:rsidR="00B65117" w:rsidRPr="009A0481" w:rsidRDefault="00B65117" w:rsidP="00B65117">
            <w:pPr>
              <w:rPr>
                <w:rFonts w:cs="Arial"/>
                <w:sz w:val="20"/>
                <w:szCs w:val="20"/>
                <w:lang w:val="nl-NL"/>
              </w:rPr>
            </w:pPr>
            <w:r>
              <w:rPr>
                <w:rFonts w:cs="Arial"/>
                <w:sz w:val="20"/>
                <w:szCs w:val="20"/>
                <w:lang w:val="nl-NL"/>
              </w:rPr>
              <w:t>In administratieve</w:t>
            </w:r>
            <w:r w:rsidR="00123D5E">
              <w:rPr>
                <w:rFonts w:cs="Arial"/>
                <w:sz w:val="20"/>
                <w:szCs w:val="20"/>
                <w:lang w:val="nl-NL"/>
              </w:rPr>
              <w:t xml:space="preserve"> of technische</w:t>
            </w:r>
            <w:r w:rsidRPr="009A0481">
              <w:rPr>
                <w:rFonts w:cs="Arial"/>
                <w:sz w:val="20"/>
                <w:szCs w:val="20"/>
                <w:lang w:val="nl-NL"/>
              </w:rPr>
              <w:t xml:space="preserve"> situaties </w:t>
            </w:r>
            <w:r>
              <w:rPr>
                <w:rFonts w:cs="Arial"/>
                <w:sz w:val="20"/>
                <w:szCs w:val="20"/>
                <w:lang w:val="nl-NL"/>
              </w:rPr>
              <w:t>krijgt hij</w:t>
            </w:r>
            <w:r w:rsidRPr="009A0481">
              <w:rPr>
                <w:rFonts w:cs="Arial"/>
                <w:sz w:val="20"/>
                <w:szCs w:val="20"/>
                <w:lang w:val="nl-NL"/>
              </w:rPr>
              <w:t xml:space="preserve"> functionele leidi</w:t>
            </w:r>
            <w:r>
              <w:rPr>
                <w:rFonts w:cs="Arial"/>
                <w:sz w:val="20"/>
                <w:szCs w:val="20"/>
                <w:lang w:val="nl-NL"/>
              </w:rPr>
              <w:t xml:space="preserve">ng van </w:t>
            </w:r>
            <w:r w:rsidR="00123D5E">
              <w:rPr>
                <w:rFonts w:cs="Arial"/>
                <w:sz w:val="20"/>
                <w:szCs w:val="20"/>
                <w:lang w:val="nl-NL"/>
              </w:rPr>
              <w:t>een adjudant,</w:t>
            </w:r>
            <w:r>
              <w:rPr>
                <w:rFonts w:cs="Arial"/>
                <w:sz w:val="20"/>
                <w:szCs w:val="20"/>
                <w:lang w:val="nl-NL"/>
              </w:rPr>
              <w:t xml:space="preserve"> hoger- of administratief kader</w:t>
            </w:r>
            <w:r w:rsidRPr="009A0481">
              <w:rPr>
                <w:rFonts w:cs="Arial"/>
                <w:sz w:val="20"/>
                <w:szCs w:val="20"/>
                <w:lang w:val="nl-NL"/>
              </w:rPr>
              <w:t>.</w:t>
            </w:r>
          </w:p>
          <w:p w14:paraId="42C28988" w14:textId="77777777" w:rsidR="00B65117" w:rsidRPr="009A0481" w:rsidRDefault="00B65117" w:rsidP="00B65117">
            <w:pPr>
              <w:jc w:val="both"/>
              <w:rPr>
                <w:rFonts w:cs="Arial"/>
                <w:sz w:val="20"/>
                <w:szCs w:val="20"/>
                <w:lang w:val="nl-NL"/>
              </w:rPr>
            </w:pPr>
          </w:p>
          <w:p w14:paraId="3C22FBAD" w14:textId="3FF90A4F"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geeft leiding</w:t>
            </w:r>
            <w:r w:rsidR="00123D5E">
              <w:rPr>
                <w:rFonts w:cs="Arial"/>
                <w:b/>
                <w:sz w:val="20"/>
                <w:szCs w:val="20"/>
                <w:u w:val="single"/>
                <w:lang w:val="nl-NL"/>
              </w:rPr>
              <w:t xml:space="preserve"> aan</w:t>
            </w:r>
            <w:r w:rsidRPr="005A3477">
              <w:rPr>
                <w:rFonts w:cs="Arial"/>
                <w:b/>
                <w:sz w:val="20"/>
                <w:szCs w:val="20"/>
                <w:u w:val="single"/>
                <w:lang w:val="nl-NL"/>
              </w:rPr>
              <w:t>:</w:t>
            </w:r>
          </w:p>
          <w:p w14:paraId="251DEA73" w14:textId="27360B8F" w:rsidR="00B65117" w:rsidRDefault="00123D5E" w:rsidP="00B65117">
            <w:pPr>
              <w:jc w:val="both"/>
              <w:outlineLvl w:val="0"/>
              <w:rPr>
                <w:rFonts w:cs="Arial"/>
                <w:sz w:val="20"/>
                <w:szCs w:val="20"/>
                <w:lang w:val="nl-NL"/>
              </w:rPr>
            </w:pPr>
            <w:r>
              <w:rPr>
                <w:rFonts w:cs="Arial"/>
                <w:sz w:val="20"/>
                <w:szCs w:val="20"/>
                <w:lang w:val="nl-NL"/>
              </w:rPr>
              <w:t>Een beperkte groep van mensen uit het basiskader.</w:t>
            </w:r>
          </w:p>
          <w:p w14:paraId="50D54CBC" w14:textId="77777777" w:rsidR="00B65117" w:rsidRPr="00A66F68" w:rsidRDefault="00B65117" w:rsidP="00A66F68">
            <w:pPr>
              <w:rPr>
                <w:sz w:val="20"/>
                <w:szCs w:val="20"/>
                <w:lang w:val="nl-NL"/>
              </w:rPr>
            </w:pPr>
          </w:p>
        </w:tc>
      </w:tr>
      <w:tr w:rsidR="006400C9" w:rsidRPr="007D7151" w14:paraId="4445A9E7" w14:textId="77777777" w:rsidTr="00A66F68">
        <w:tc>
          <w:tcPr>
            <w:tcW w:w="2206" w:type="dxa"/>
          </w:tcPr>
          <w:p w14:paraId="7A0636D2" w14:textId="77777777" w:rsidR="006400C9" w:rsidRPr="009A0481" w:rsidRDefault="006400C9" w:rsidP="00C24CDE">
            <w:pPr>
              <w:rPr>
                <w:b/>
                <w:color w:val="0000FF"/>
                <w:sz w:val="20"/>
                <w:szCs w:val="20"/>
                <w:lang w:val="nl-NL"/>
              </w:rPr>
            </w:pPr>
          </w:p>
          <w:p w14:paraId="0BB3CE41" w14:textId="0F479D3F" w:rsidR="006400C9" w:rsidRPr="009A0481" w:rsidRDefault="006400C9" w:rsidP="00D93787">
            <w:pPr>
              <w:rPr>
                <w:b/>
                <w:color w:val="0000FF"/>
                <w:sz w:val="20"/>
                <w:szCs w:val="20"/>
                <w:lang w:val="nl-NL"/>
              </w:rPr>
            </w:pPr>
          </w:p>
        </w:tc>
        <w:tc>
          <w:tcPr>
            <w:tcW w:w="7076" w:type="dxa"/>
          </w:tcPr>
          <w:p w14:paraId="44961D58" w14:textId="77777777" w:rsidR="006400C9" w:rsidRDefault="006400C9" w:rsidP="00C24CDE">
            <w:pPr>
              <w:rPr>
                <w:sz w:val="20"/>
                <w:szCs w:val="20"/>
                <w:lang w:val="nl-NL"/>
              </w:rPr>
            </w:pPr>
          </w:p>
          <w:p w14:paraId="57AFCA8E" w14:textId="77777777" w:rsidR="004D692A" w:rsidRPr="004467DF" w:rsidRDefault="004D692A" w:rsidP="004D692A">
            <w:pPr>
              <w:outlineLvl w:val="0"/>
              <w:rPr>
                <w:rFonts w:cs="Arial"/>
                <w:sz w:val="20"/>
                <w:szCs w:val="20"/>
                <w:lang w:val="nl-NL"/>
              </w:rPr>
            </w:pPr>
            <w:r w:rsidRPr="004467DF">
              <w:rPr>
                <w:rFonts w:cs="Arial"/>
                <w:sz w:val="20"/>
                <w:szCs w:val="20"/>
                <w:lang w:val="nl-NL"/>
              </w:rPr>
              <w:t>De functiebeschrijving voor de onderdelen:</w:t>
            </w:r>
          </w:p>
          <w:p w14:paraId="61A73AB4" w14:textId="77777777" w:rsidR="004D692A" w:rsidRPr="004467DF" w:rsidRDefault="004D692A" w:rsidP="004D692A">
            <w:pPr>
              <w:pStyle w:val="Lijstalinea"/>
              <w:numPr>
                <w:ilvl w:val="0"/>
                <w:numId w:val="10"/>
              </w:numPr>
              <w:outlineLvl w:val="0"/>
              <w:rPr>
                <w:rFonts w:ascii="Arial" w:hAnsi="Arial" w:cs="Arial"/>
                <w:sz w:val="20"/>
                <w:szCs w:val="20"/>
              </w:rPr>
            </w:pPr>
            <w:r w:rsidRPr="004467DF">
              <w:rPr>
                <w:rFonts w:ascii="Arial" w:hAnsi="Arial" w:cs="Arial"/>
                <w:sz w:val="20"/>
                <w:szCs w:val="20"/>
              </w:rPr>
              <w:t>Netwerkelementen</w:t>
            </w:r>
          </w:p>
          <w:p w14:paraId="6783F663" w14:textId="77777777" w:rsidR="004D692A" w:rsidRPr="004467DF" w:rsidRDefault="004D692A" w:rsidP="004D692A">
            <w:pPr>
              <w:pStyle w:val="Lijstalinea"/>
              <w:numPr>
                <w:ilvl w:val="0"/>
                <w:numId w:val="10"/>
              </w:numPr>
              <w:outlineLvl w:val="0"/>
              <w:rPr>
                <w:rFonts w:ascii="Arial" w:hAnsi="Arial" w:cs="Arial"/>
                <w:sz w:val="20"/>
                <w:szCs w:val="20"/>
              </w:rPr>
            </w:pPr>
            <w:r w:rsidRPr="004467DF">
              <w:rPr>
                <w:rFonts w:ascii="Arial" w:hAnsi="Arial" w:cs="Arial"/>
                <w:sz w:val="20"/>
                <w:szCs w:val="20"/>
              </w:rPr>
              <w:t>Autonomie</w:t>
            </w:r>
          </w:p>
          <w:p w14:paraId="4C901C7D" w14:textId="77777777" w:rsidR="004D692A" w:rsidRPr="004467DF" w:rsidRDefault="004D692A" w:rsidP="004D692A">
            <w:pPr>
              <w:pStyle w:val="Lijstalinea"/>
              <w:numPr>
                <w:ilvl w:val="0"/>
                <w:numId w:val="10"/>
              </w:numPr>
              <w:outlineLvl w:val="0"/>
              <w:rPr>
                <w:rFonts w:ascii="Arial" w:hAnsi="Arial" w:cs="Arial"/>
                <w:sz w:val="20"/>
                <w:szCs w:val="20"/>
              </w:rPr>
            </w:pPr>
            <w:r w:rsidRPr="004467DF">
              <w:rPr>
                <w:rFonts w:ascii="Arial" w:hAnsi="Arial" w:cs="Arial"/>
                <w:sz w:val="20"/>
                <w:szCs w:val="20"/>
              </w:rPr>
              <w:t>Arbeidsvoorwaarden en -omstandigheden</w:t>
            </w:r>
          </w:p>
          <w:p w14:paraId="4FA1D029" w14:textId="77777777" w:rsidR="004D692A" w:rsidRDefault="004D692A" w:rsidP="004D692A">
            <w:pPr>
              <w:jc w:val="both"/>
              <w:outlineLvl w:val="0"/>
              <w:rPr>
                <w:sz w:val="20"/>
                <w:szCs w:val="20"/>
                <w:lang w:val="nl-NL"/>
              </w:rPr>
            </w:pPr>
          </w:p>
          <w:p w14:paraId="633345D4" w14:textId="77777777" w:rsidR="006400C9" w:rsidRDefault="00383642" w:rsidP="00383642">
            <w:pPr>
              <w:rPr>
                <w:rFonts w:cs="Arial"/>
                <w:sz w:val="20"/>
                <w:szCs w:val="20"/>
                <w:lang w:val="nl-NL"/>
              </w:rPr>
            </w:pPr>
            <w:r>
              <w:rPr>
                <w:sz w:val="20"/>
                <w:szCs w:val="20"/>
                <w:lang w:val="nl-NL"/>
              </w:rPr>
              <w:t>is</w:t>
            </w:r>
            <w:r w:rsidR="004D692A">
              <w:rPr>
                <w:sz w:val="20"/>
                <w:szCs w:val="20"/>
                <w:lang w:val="nl-NL"/>
              </w:rPr>
              <w:t xml:space="preserve"> terug</w:t>
            </w:r>
            <w:r>
              <w:rPr>
                <w:sz w:val="20"/>
                <w:szCs w:val="20"/>
                <w:lang w:val="nl-NL"/>
              </w:rPr>
              <w:t xml:space="preserve"> te </w:t>
            </w:r>
            <w:r w:rsidR="004D692A">
              <w:rPr>
                <w:sz w:val="20"/>
                <w:szCs w:val="20"/>
                <w:lang w:val="nl-NL"/>
              </w:rPr>
              <w:t xml:space="preserve">vinden bij de aangekoppelde functie </w:t>
            </w:r>
            <w:r w:rsidR="006400C9">
              <w:rPr>
                <w:sz w:val="20"/>
                <w:szCs w:val="20"/>
                <w:lang w:val="nl-NL"/>
              </w:rPr>
              <w:t>(</w:t>
            </w:r>
            <w:r w:rsidR="00123D5E">
              <w:rPr>
                <w:sz w:val="20"/>
                <w:szCs w:val="20"/>
                <w:lang w:val="nl-NL"/>
              </w:rPr>
              <w:t>sergeant</w:t>
            </w:r>
            <w:r>
              <w:rPr>
                <w:sz w:val="20"/>
                <w:szCs w:val="20"/>
                <w:lang w:val="nl-NL"/>
              </w:rPr>
              <w:t>, adjudant</w:t>
            </w:r>
            <w:r w:rsidR="00123D5E">
              <w:rPr>
                <w:sz w:val="20"/>
                <w:szCs w:val="20"/>
                <w:lang w:val="nl-NL"/>
              </w:rPr>
              <w:t>)</w:t>
            </w:r>
            <w:r>
              <w:rPr>
                <w:sz w:val="20"/>
                <w:szCs w:val="20"/>
                <w:lang w:val="nl-NL"/>
              </w:rPr>
              <w:t xml:space="preserve"> of</w:t>
            </w:r>
            <w:r w:rsidRPr="001460EC">
              <w:rPr>
                <w:sz w:val="20"/>
                <w:szCs w:val="20"/>
                <w:lang w:val="nl-NL"/>
              </w:rPr>
              <w:t xml:space="preserve"> volgens de bepalingen in het </w:t>
            </w:r>
            <w:r w:rsidRPr="001460EC">
              <w:rPr>
                <w:rFonts w:cs="Arial"/>
                <w:sz w:val="20"/>
                <w:szCs w:val="20"/>
                <w:lang w:val="nl-NL"/>
              </w:rPr>
              <w:t>koninklijk besluit van 19 april 2014 tot bepaling van het statuut van het operationeel perso</w:t>
            </w:r>
            <w:r>
              <w:rPr>
                <w:rFonts w:cs="Arial"/>
                <w:sz w:val="20"/>
                <w:szCs w:val="20"/>
                <w:lang w:val="nl-NL"/>
              </w:rPr>
              <w:t>neel van de hulpverleningszones.</w:t>
            </w:r>
          </w:p>
          <w:p w14:paraId="1AF8579C" w14:textId="2AB45525" w:rsidR="00383642" w:rsidRPr="009A0481" w:rsidRDefault="00383642" w:rsidP="00383642">
            <w:pPr>
              <w:rPr>
                <w:sz w:val="20"/>
                <w:szCs w:val="20"/>
                <w:lang w:val="nl-NL"/>
              </w:rPr>
            </w:pPr>
          </w:p>
        </w:tc>
      </w:tr>
    </w:tbl>
    <w:p w14:paraId="5FAF8044" w14:textId="77777777" w:rsidR="00C1200D" w:rsidRPr="00383642" w:rsidRDefault="00C1200D">
      <w:pPr>
        <w:rPr>
          <w:lang w:val="nl-NL"/>
        </w:rPr>
      </w:pPr>
    </w:p>
    <w:p w14:paraId="6AD8A2D1" w14:textId="77777777" w:rsidR="00CC5128" w:rsidRPr="00383642" w:rsidRDefault="00CC5128">
      <w:pPr>
        <w:rPr>
          <w:lang w:val="nl-NL"/>
        </w:rPr>
      </w:pPr>
    </w:p>
    <w:p w14:paraId="09DF9DCD" w14:textId="77777777" w:rsidR="00383642" w:rsidRPr="00707BFF" w:rsidRDefault="00383642" w:rsidP="00383642">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62B58894" w14:textId="77777777" w:rsidR="00383642" w:rsidRPr="00707BFF" w:rsidRDefault="00383642" w:rsidP="00383642">
      <w:pPr>
        <w:jc w:val="center"/>
        <w:rPr>
          <w:rFonts w:ascii="Univers" w:eastAsia="Times New Roman" w:hAnsi="Univers"/>
          <w:color w:val="000000"/>
          <w:lang w:val="nl-BE" w:eastAsia="fr-BE"/>
        </w:rPr>
      </w:pPr>
    </w:p>
    <w:p w14:paraId="69457E10" w14:textId="77777777" w:rsidR="00383642" w:rsidRPr="00707BFF" w:rsidRDefault="00383642" w:rsidP="00383642">
      <w:pPr>
        <w:jc w:val="center"/>
        <w:rPr>
          <w:rFonts w:ascii="Univers" w:eastAsia="Times New Roman" w:hAnsi="Univers"/>
          <w:color w:val="000000"/>
          <w:lang w:val="nl-BE" w:eastAsia="fr-BE"/>
        </w:rPr>
      </w:pPr>
    </w:p>
    <w:p w14:paraId="2A022606" w14:textId="77777777" w:rsidR="00383642" w:rsidRPr="00707BFF" w:rsidRDefault="00383642" w:rsidP="00383642">
      <w:pPr>
        <w:rPr>
          <w:rFonts w:ascii="Univers" w:eastAsia="Times New Roman" w:hAnsi="Univers"/>
          <w:color w:val="000000"/>
          <w:lang w:val="nl-BE" w:eastAsia="fr-BE"/>
        </w:rPr>
      </w:pPr>
    </w:p>
    <w:p w14:paraId="2F797179" w14:textId="77777777" w:rsidR="00383642" w:rsidRPr="00707BFF" w:rsidRDefault="00383642" w:rsidP="00383642">
      <w:pPr>
        <w:jc w:val="center"/>
        <w:rPr>
          <w:rFonts w:ascii="Univers" w:eastAsia="Times New Roman" w:hAnsi="Univers"/>
          <w:color w:val="000000"/>
          <w:lang w:val="nl-BE" w:eastAsia="fr-BE"/>
        </w:rPr>
      </w:pPr>
    </w:p>
    <w:p w14:paraId="6102F8C2" w14:textId="77777777" w:rsidR="00383642" w:rsidRPr="00707BFF" w:rsidRDefault="00383642" w:rsidP="00383642">
      <w:pPr>
        <w:jc w:val="center"/>
        <w:rPr>
          <w:rFonts w:ascii="Univers" w:eastAsia="Times New Roman" w:hAnsi="Univers"/>
          <w:color w:val="000000"/>
          <w:lang w:val="nl-BE" w:eastAsia="fr-BE"/>
        </w:rPr>
      </w:pPr>
    </w:p>
    <w:p w14:paraId="4A0E2775" w14:textId="77777777" w:rsidR="00383642" w:rsidRDefault="00383642" w:rsidP="00383642">
      <w:pPr>
        <w:jc w:val="center"/>
        <w:rPr>
          <w:rFonts w:ascii="Univers" w:eastAsia="Times New Roman" w:hAnsi="Univers"/>
          <w:color w:val="000000"/>
          <w:lang w:val="nl-BE" w:eastAsia="fr-BE"/>
        </w:rPr>
      </w:pPr>
    </w:p>
    <w:p w14:paraId="1C0C8C72" w14:textId="77777777" w:rsidR="00383642" w:rsidRDefault="00383642" w:rsidP="00383642">
      <w:pPr>
        <w:jc w:val="center"/>
        <w:rPr>
          <w:rFonts w:ascii="Univers" w:eastAsia="Times New Roman" w:hAnsi="Univers"/>
          <w:color w:val="000000"/>
          <w:lang w:val="nl-BE" w:eastAsia="fr-BE"/>
        </w:rPr>
      </w:pPr>
    </w:p>
    <w:p w14:paraId="2874BC32" w14:textId="77777777" w:rsidR="00383642" w:rsidRPr="00707BFF" w:rsidRDefault="00383642" w:rsidP="00383642">
      <w:pPr>
        <w:jc w:val="center"/>
        <w:rPr>
          <w:rFonts w:ascii="Univers" w:eastAsia="Times New Roman" w:hAnsi="Univers"/>
          <w:color w:val="000000"/>
          <w:lang w:val="nl-BE" w:eastAsia="fr-BE"/>
        </w:rPr>
      </w:pPr>
    </w:p>
    <w:p w14:paraId="21648848" w14:textId="77777777" w:rsidR="00383642" w:rsidRPr="008126C5" w:rsidRDefault="00383642" w:rsidP="00383642">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13EB1E45" w14:textId="77777777" w:rsidR="00CC5128" w:rsidRPr="00383642" w:rsidRDefault="00CC5128">
      <w:pPr>
        <w:rPr>
          <w:lang w:val="nl-NL"/>
        </w:rPr>
      </w:pPr>
    </w:p>
    <w:p w14:paraId="451A2ABE" w14:textId="77777777" w:rsidR="00EC4FE1" w:rsidRPr="00383642" w:rsidRDefault="00EC4FE1">
      <w:pPr>
        <w:rPr>
          <w:lang w:val="nl-NL"/>
        </w:rPr>
      </w:pPr>
    </w:p>
    <w:sectPr w:rsidR="00EC4FE1" w:rsidRPr="00383642"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93647" w14:textId="77777777" w:rsidR="00253685" w:rsidRDefault="00253685" w:rsidP="008F4853">
      <w:r>
        <w:separator/>
      </w:r>
    </w:p>
  </w:endnote>
  <w:endnote w:type="continuationSeparator" w:id="0">
    <w:p w14:paraId="068F06C1" w14:textId="77777777" w:rsidR="00253685" w:rsidRDefault="00253685"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CF1FB" w14:textId="77777777" w:rsidR="00253685" w:rsidRDefault="00253685" w:rsidP="008F4853">
      <w:r>
        <w:separator/>
      </w:r>
    </w:p>
  </w:footnote>
  <w:footnote w:type="continuationSeparator" w:id="0">
    <w:p w14:paraId="43F20795" w14:textId="77777777" w:rsidR="00253685" w:rsidRDefault="00253685"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2"/>
  </w:num>
  <w:num w:numId="6">
    <w:abstractNumId w:val="8"/>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26778"/>
    <w:rsid w:val="00123D5E"/>
    <w:rsid w:val="001F2C84"/>
    <w:rsid w:val="001F4078"/>
    <w:rsid w:val="00253685"/>
    <w:rsid w:val="003204FF"/>
    <w:rsid w:val="0035708C"/>
    <w:rsid w:val="00367BD2"/>
    <w:rsid w:val="00377A38"/>
    <w:rsid w:val="00383642"/>
    <w:rsid w:val="004553F4"/>
    <w:rsid w:val="004A6EBD"/>
    <w:rsid w:val="004D692A"/>
    <w:rsid w:val="0053208F"/>
    <w:rsid w:val="005A3477"/>
    <w:rsid w:val="006400C9"/>
    <w:rsid w:val="006A042D"/>
    <w:rsid w:val="006A163E"/>
    <w:rsid w:val="00733D56"/>
    <w:rsid w:val="007D7151"/>
    <w:rsid w:val="007E416B"/>
    <w:rsid w:val="007F2A66"/>
    <w:rsid w:val="008655BE"/>
    <w:rsid w:val="008F4853"/>
    <w:rsid w:val="00917175"/>
    <w:rsid w:val="00927DFA"/>
    <w:rsid w:val="00946D3E"/>
    <w:rsid w:val="00981462"/>
    <w:rsid w:val="009A0481"/>
    <w:rsid w:val="009D6797"/>
    <w:rsid w:val="00A66F68"/>
    <w:rsid w:val="00B41040"/>
    <w:rsid w:val="00B65117"/>
    <w:rsid w:val="00B85459"/>
    <w:rsid w:val="00C1200D"/>
    <w:rsid w:val="00C40F14"/>
    <w:rsid w:val="00CC5128"/>
    <w:rsid w:val="00CC5E11"/>
    <w:rsid w:val="00D27580"/>
    <w:rsid w:val="00D93787"/>
    <w:rsid w:val="00DE4CC9"/>
    <w:rsid w:val="00DE771F"/>
    <w:rsid w:val="00E4720A"/>
    <w:rsid w:val="00E9399D"/>
    <w:rsid w:val="00EC4FE1"/>
    <w:rsid w:val="00F850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61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2015-03-23T14:19:00Z</cp:lastPrinted>
  <dcterms:created xsi:type="dcterms:W3CDTF">2016-04-19T09:51:00Z</dcterms:created>
  <dcterms:modified xsi:type="dcterms:W3CDTF">2016-04-19T09:51:00Z</dcterms:modified>
</cp:coreProperties>
</file>